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B5778" w14:paraId="35D4332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DE5FDA" w14:textId="77777777" w:rsidR="009B5778" w:rsidRDefault="001E096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5101A77" w14:textId="77777777" w:rsidR="009B5778" w:rsidRDefault="001E096E">
            <w:pPr>
              <w:spacing w:after="0" w:line="240" w:lineRule="auto"/>
            </w:pPr>
            <w:r>
              <w:t>33950</w:t>
            </w:r>
          </w:p>
        </w:tc>
      </w:tr>
      <w:tr w:rsidR="009B5778" w14:paraId="51D571D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8BA420C" w14:textId="77777777" w:rsidR="009B5778" w:rsidRDefault="001E096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C847DA9" w14:textId="77777777" w:rsidR="009B5778" w:rsidRDefault="001E096E">
            <w:pPr>
              <w:spacing w:after="0" w:line="240" w:lineRule="auto"/>
            </w:pPr>
            <w:r>
              <w:t>DOM ZDRAVLJA BJELOVARSKO-BILOGORSKE ŽUPANIJE</w:t>
            </w:r>
          </w:p>
        </w:tc>
      </w:tr>
      <w:tr w:rsidR="009B5778" w14:paraId="2D4BC83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7C4C53" w14:textId="77777777" w:rsidR="009B5778" w:rsidRDefault="001E096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F88C71F" w14:textId="77777777" w:rsidR="009B5778" w:rsidRDefault="001E096E">
            <w:pPr>
              <w:spacing w:after="0" w:line="240" w:lineRule="auto"/>
            </w:pPr>
            <w:r>
              <w:t>31</w:t>
            </w:r>
          </w:p>
        </w:tc>
      </w:tr>
    </w:tbl>
    <w:p w14:paraId="4F4D3C5A" w14:textId="77777777" w:rsidR="009B5778" w:rsidRDefault="001E096E">
      <w:r>
        <w:br/>
      </w:r>
    </w:p>
    <w:p w14:paraId="61111605" w14:textId="77777777" w:rsidR="009B5778" w:rsidRDefault="001E096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786A909" w14:textId="77777777" w:rsidR="009B5778" w:rsidRDefault="001E096E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40FBBB3" w14:textId="77777777" w:rsidR="009B5778" w:rsidRDefault="001E096E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5AA09E6A" w14:textId="77777777" w:rsidR="009B5778" w:rsidRDefault="009B5778"/>
    <w:p w14:paraId="5EEA20EC" w14:textId="77777777" w:rsidR="009B5778" w:rsidRDefault="001E096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6FDE476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155168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25DD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67B7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C2C5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E262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B700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4A02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4C670B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8C51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4E413A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90C5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B16E8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7.945.551,28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AB00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10.604.241,32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0C08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  <w:tr w:rsidR="009B5778" w14:paraId="45666E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2D62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7E052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8C6D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0205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8.502.623,41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63A7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10.385.460,05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EE224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  <w:tr w:rsidR="009B5778" w14:paraId="0FE0CD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41C22" w14:textId="77777777" w:rsidR="009B5778" w:rsidRDefault="009B5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808F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D941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65F4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2712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218.781,27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C965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B5778" w14:paraId="0FE56B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0C93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73ED64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6E7D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862F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98B5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3CB9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16,1</w:t>
            </w:r>
          </w:p>
        </w:tc>
      </w:tr>
      <w:tr w:rsidR="009B5778" w14:paraId="1F6AEF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F56F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98C44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FDE8A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95E2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448.364,04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DC81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785.847,48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331D0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175,3</w:t>
            </w:r>
          </w:p>
        </w:tc>
      </w:tr>
      <w:tr w:rsidR="009B5778" w14:paraId="6C1769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798BA" w14:textId="77777777" w:rsidR="009B5778" w:rsidRDefault="009B5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2AFBF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1689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5EFE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439.276,52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1273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784.381,97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B437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178,6</w:t>
            </w:r>
          </w:p>
        </w:tc>
      </w:tr>
      <w:tr w:rsidR="009B5778" w14:paraId="13D592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4C14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7A05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E80B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BFFE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55FE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D7EC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B5778" w14:paraId="24EFD0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97C8C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BB6A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B6D4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B13C1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1B55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6CFD4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B5778" w14:paraId="0A688C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36A15" w14:textId="77777777" w:rsidR="009B5778" w:rsidRDefault="009B5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D95F8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284DA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F6B9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09718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12F8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B5778" w14:paraId="28F4FE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22711" w14:textId="77777777" w:rsidR="009B5778" w:rsidRDefault="009B5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01B5F4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E385E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5491C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996.348,65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2A4A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565.600,70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30FE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56,8</w:t>
            </w:r>
          </w:p>
        </w:tc>
      </w:tr>
    </w:tbl>
    <w:p w14:paraId="59D77DC8" w14:textId="77777777" w:rsidR="009B5778" w:rsidRDefault="009B5778">
      <w:pPr>
        <w:spacing w:after="0"/>
      </w:pPr>
    </w:p>
    <w:p w14:paraId="3B0151D3" w14:textId="77777777" w:rsidR="009B5778" w:rsidRDefault="001E096E">
      <w:pPr>
        <w:spacing w:line="240" w:lineRule="auto"/>
        <w:jc w:val="both"/>
      </w:pPr>
      <w:r>
        <w:t>U razdoblju od 1. siječnja do 30. rujna 2025. godine prihodi poslovanja ostvareni su u iznosu od 10.605.706,83  EUR. Ukupni prihodi poslovanja bilježe značajan rast u odnosu na prethodnu godinu. Najveći doprinos povećanju ostvarili su prihodi od HZZO-a i drugih proračunskih izvora, što ukazuje na veći opseg ugovorenih zdravstvenih usluga i povećano financiranje iz javnih sredstava. Dodatno, ostvareni su prihodi iz EU fondova, što je pridonijelo ukupnom povećanju proračunskih pomoći i potpora. Prihodi od pro</w:t>
      </w:r>
      <w:r>
        <w:t xml:space="preserve">daje proizvoda i usluga također su u porastu, ponajprije zbog povećanog opsega poslovnih aktivnosti i </w:t>
      </w:r>
      <w:r>
        <w:lastRenderedPageBreak/>
        <w:t xml:space="preserve">potražnje za pruženim uslugama. Također je vidljivo povećanje ostalih prihoda koji se odnose na ostvarene rabate u ljekarnama. U usporedbi s prethodnim razdobljem, ukupni rashodi poslovanja povećani su s 8.950.987,45 EUR na 11.171.307,53 EUR  što predstavlja rast od oko 24,8 %. Najznačajnije povećanje bilježi se kod rashoda za zaposlene, osobito u stavci plaća (bruto), koje su porasle s 4.741.044,45 EUR na </w:t>
      </w:r>
      <w:r>
        <w:t>5.506.924,61 EUR, kao i kod materijalnih rashoda, koji su porasli s 2.853.678,50 EUR na 3.851.491,43 EUR. Unutar materijalnih rashoda, najveće povećanje vidljivo je u rashodima za materijal i sirovine prvenstveno zbog većih troškova materijala. S druge strane, najznačajnije smanjenje bilježi se kod intelektualnih usluga i financijskih rashoda . Ukupno povećanje rashoda uglavnom je rezultat rasta plaća i troškova materijala, dok je djelomično smanjenje nekih rashoda ublažilo ukupni porast. Prihodi od prodaje</w:t>
      </w:r>
      <w:r>
        <w:t xml:space="preserve"> nefinancijske imovine iznose 1.465,51 eura. U odnosu na prethodno razdoblje zabilježeno je smanjenje, što je posljedica manjeg obujma prodaje prijevoznih sredstava i građevinskih objekata. Ukupni rashodi za nabavu nefinancijske imovine iznose 785.847,48 eura. U odnosu na prethodno razdoblje došlo je do povećanja, ponajviše zbog većih ulaganja u građevinske objekte i opremu. U navedenom razdoblju nije bilo ostvarenih primitaka i izdataka od financijske imovine i zaduživanja.  U razdoblju od 1.siječnja do 30</w:t>
      </w:r>
      <w:r>
        <w:t>.rujna 2025.g. ostvaren je višak prihoda poslovanja u iznosu od 218.781,27 EUR i manjak prihoda od nefinancijske imovine u iznosu od 784.381,97 EUR, slijedom čega je na kraju izvještajnog razdoblja ostvaren ukupan manjak prihoda i primitaka u iznosu od 565.600,70 EUR. Ukupni manjak u odnosu na prošlo razdoblje je smanjen za 40,2 %, a razlog smanjenja je prihod za specijalizacije liječnika, odnosno refundacija plaća iz 2023. i 2024.  godine.</w:t>
      </w:r>
    </w:p>
    <w:p w14:paraId="3CACE245" w14:textId="77777777" w:rsidR="009B5778" w:rsidRDefault="001E096E">
      <w:r>
        <w:br/>
      </w:r>
    </w:p>
    <w:p w14:paraId="4F714A01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6B9CCF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0F98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0AE5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D2FB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BB5A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58AE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ED70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34C38A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BDAC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9420B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7D70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143D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30.088,57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48BB6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72.013,39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0A19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239,3</w:t>
            </w:r>
          </w:p>
        </w:tc>
      </w:tr>
    </w:tbl>
    <w:p w14:paraId="4C97B67C" w14:textId="77777777" w:rsidR="009B5778" w:rsidRDefault="009B5778">
      <w:pPr>
        <w:spacing w:after="0"/>
      </w:pPr>
    </w:p>
    <w:p w14:paraId="7340955A" w14:textId="77777777" w:rsidR="009B5778" w:rsidRDefault="001E096E">
      <w:pPr>
        <w:spacing w:line="240" w:lineRule="auto"/>
        <w:jc w:val="both"/>
      </w:pPr>
      <w:r>
        <w:t xml:space="preserve">Povećanje ovog prihoda iznosi 139,34 %. Razlog povećanja su ostvarene refundacije plaća od: HZZ-a za zapošljavanje pripravnika u ljekarni, od HZZO-a za rad pod stručnim nadzorom za dr. </w:t>
      </w:r>
      <w:proofErr w:type="spellStart"/>
      <w:r>
        <w:t>Vujanović</w:t>
      </w:r>
      <w:proofErr w:type="spellEnd"/>
      <w:r>
        <w:t xml:space="preserve"> i pripravnički staž za dr. Kolarić, te refundacije plaća od KBC-a Sestre milosrdnice za specijalizaciju dr. </w:t>
      </w:r>
      <w:proofErr w:type="spellStart"/>
      <w:r>
        <w:t>Barjesa</w:t>
      </w:r>
      <w:proofErr w:type="spellEnd"/>
      <w:r>
        <w:t xml:space="preserve"> i od KBC-a Sveti Duh za specijalizaciju dr. </w:t>
      </w:r>
      <w:proofErr w:type="spellStart"/>
      <w:r>
        <w:t>Kroh</w:t>
      </w:r>
      <w:proofErr w:type="spellEnd"/>
      <w:r>
        <w:t>.</w:t>
      </w:r>
    </w:p>
    <w:p w14:paraId="0FAE8387" w14:textId="77777777" w:rsidR="009B5778" w:rsidRDefault="009B5778"/>
    <w:p w14:paraId="34F87FD3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2A5FD6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C9AD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C239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EEFC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1E33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7603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4168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52F5E2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A9C4E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B346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5312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A61D4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7ED9C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311.259,30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37394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11BECE" w14:textId="77777777" w:rsidR="009B5778" w:rsidRDefault="009B5778">
      <w:pPr>
        <w:spacing w:after="0"/>
      </w:pPr>
    </w:p>
    <w:p w14:paraId="49D1B5D5" w14:textId="77777777" w:rsidR="009B5778" w:rsidRDefault="001E096E">
      <w:pPr>
        <w:spacing w:line="240" w:lineRule="auto"/>
        <w:jc w:val="both"/>
      </w:pPr>
      <w:r>
        <w:t xml:space="preserve">Prihod je povećan za 100 %, s obzirom na to da su u ovom izvještajnom razdoblju uplaćena sredstva za refundaciju plaća za specijalizacije dr. </w:t>
      </w:r>
      <w:proofErr w:type="spellStart"/>
      <w:r>
        <w:t>Barjesa</w:t>
      </w:r>
      <w:proofErr w:type="spellEnd"/>
      <w:r>
        <w:t xml:space="preserve">, dr. Čukman i dr. </w:t>
      </w:r>
      <w:proofErr w:type="spellStart"/>
      <w:r>
        <w:t>Kroh</w:t>
      </w:r>
      <w:proofErr w:type="spellEnd"/>
      <w:r>
        <w:t>, za 2023., 2024. i 2025. godinu.</w:t>
      </w:r>
    </w:p>
    <w:p w14:paraId="0D3993C9" w14:textId="77777777" w:rsidR="009B5778" w:rsidRDefault="009B5778"/>
    <w:p w14:paraId="74E72C9B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046A6C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7250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54F8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96FF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878B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B201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A69D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340FC5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F306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4FC7C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F6B7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AAD18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F24AC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336.356,35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EA1B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27D428" w14:textId="77777777" w:rsidR="009B5778" w:rsidRDefault="009B5778">
      <w:pPr>
        <w:spacing w:after="0"/>
      </w:pPr>
    </w:p>
    <w:p w14:paraId="7F02E6EE" w14:textId="77777777" w:rsidR="009B5778" w:rsidRDefault="001E096E">
      <w:pPr>
        <w:spacing w:line="240" w:lineRule="auto"/>
        <w:jc w:val="both"/>
      </w:pPr>
      <w:r>
        <w:t>Prihod je povećan za 100 %, s obzirom na to da su u ovom izvještajnom razdoblju uplaćena sredstva za energetske obnove zgrada Dom zdravlja u Daruvaru u iznosu 110.812,90 €, u Grubišnom Polju u iznosu 90.577,73 € i u Garešnici u iznosu 134.965,72 €.</w:t>
      </w:r>
    </w:p>
    <w:p w14:paraId="2D6247F3" w14:textId="77777777" w:rsidR="009B5778" w:rsidRDefault="009B5778"/>
    <w:p w14:paraId="2E6F0920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5D717A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DCDE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17A2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8E70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44A8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C7D2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A260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0C896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1095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81607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DD49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0D91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187.380,69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5A22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206.260,24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A4E44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0DF5FE69" w14:textId="77777777" w:rsidR="009B5778" w:rsidRDefault="009B5778">
      <w:pPr>
        <w:spacing w:after="0"/>
      </w:pPr>
    </w:p>
    <w:p w14:paraId="312DCA74" w14:textId="77777777" w:rsidR="009B5778" w:rsidRDefault="001E096E">
      <w:pPr>
        <w:spacing w:line="240" w:lineRule="auto"/>
        <w:jc w:val="both"/>
      </w:pPr>
      <w:r>
        <w:t>Povećanje ovog prihoda je 10,08 %, a uključuje  prihode od sufinanciranja cijene usluge, prihode od nadoknade šteta te rabate za gorivo. Razlog povećanja je povećan broj usluga u izvještajnom razdoblju.</w:t>
      </w:r>
    </w:p>
    <w:p w14:paraId="44BC827B" w14:textId="77777777" w:rsidR="009B5778" w:rsidRDefault="009B5778"/>
    <w:p w14:paraId="0EE68752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320B7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2181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26F1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C853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E9FB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1ED1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0B13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137D21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35DC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60BE8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A465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956C4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625.639,72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26AE8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990.675,74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C079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14:paraId="427065F8" w14:textId="77777777" w:rsidR="009B5778" w:rsidRDefault="009B5778">
      <w:pPr>
        <w:spacing w:after="0"/>
      </w:pPr>
    </w:p>
    <w:p w14:paraId="6D04A1E6" w14:textId="77777777" w:rsidR="009B5778" w:rsidRDefault="001E096E">
      <w:pPr>
        <w:spacing w:line="240" w:lineRule="auto"/>
        <w:jc w:val="both"/>
      </w:pPr>
      <w:r>
        <w:t>Prihodi su povećani za 58,35 %, što je rezultat povećanja prodaje robe u Ljekarnama Garešnica, Veliki Grđevac i Čazmi.</w:t>
      </w:r>
    </w:p>
    <w:p w14:paraId="65C3E758" w14:textId="77777777" w:rsidR="009B5778" w:rsidRDefault="009B5778"/>
    <w:p w14:paraId="278EFF4D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514E74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4E8C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27F1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2980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F3C5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B338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5363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2C2584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2E21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3838B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48C5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8A07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21F7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7.375,82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F329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6A6F44" w14:textId="77777777" w:rsidR="009B5778" w:rsidRDefault="009B5778">
      <w:pPr>
        <w:spacing w:after="0"/>
      </w:pPr>
    </w:p>
    <w:p w14:paraId="2C3B4963" w14:textId="77777777" w:rsidR="009B5778" w:rsidRDefault="001E096E">
      <w:pPr>
        <w:spacing w:line="240" w:lineRule="auto"/>
        <w:jc w:val="both"/>
      </w:pPr>
      <w:r>
        <w:t>Prihodi su povećani 100 %, a odnose se na donaciju namještaja Grada Daruvara za dječji dispanzer u Daruvaru i na donaciju namještaja Općine Sirač za pedijatrijsku ambulantu u Daruvaru.</w:t>
      </w:r>
    </w:p>
    <w:p w14:paraId="797B31F4" w14:textId="77777777" w:rsidR="009B5778" w:rsidRDefault="009B5778"/>
    <w:p w14:paraId="0638596D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78E8AD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B60C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C4BE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954D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9314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40A7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3693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33E51E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0D2F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891B0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EAD3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7F05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181.877,94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D3AB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93.426,74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3306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51,4</w:t>
            </w:r>
          </w:p>
        </w:tc>
      </w:tr>
    </w:tbl>
    <w:p w14:paraId="77CF72EE" w14:textId="77777777" w:rsidR="009B5778" w:rsidRDefault="009B5778">
      <w:pPr>
        <w:spacing w:after="0"/>
      </w:pPr>
    </w:p>
    <w:p w14:paraId="6C790646" w14:textId="77777777" w:rsidR="009B5778" w:rsidRDefault="001E096E">
      <w:pPr>
        <w:spacing w:line="240" w:lineRule="auto"/>
        <w:jc w:val="both"/>
      </w:pPr>
      <w:r>
        <w:t>Prihodi su smanjeni 48,61 %, a odnose se na prihode od DEC-a za financiranje usluga održavanja građevinskih objekata, prijevoznih sredstava i opreme, kao i na dotacije Županije. Razlog smanjenja je taj što su u prethodnom izvještajnom razdoblju prihodi obuhvaćali i sredstva po zahtjevu za isplatu plaća, dok u ovom razdoblju takvih zahtjeva nije bilo.</w:t>
      </w:r>
    </w:p>
    <w:p w14:paraId="79F2A855" w14:textId="77777777" w:rsidR="009B5778" w:rsidRDefault="009B5778"/>
    <w:p w14:paraId="6D30BD49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7CE2C4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A95D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2A6A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131B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BFA9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8470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A5DF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1D374B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6C70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5DC57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E088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90A4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383.991,00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B9E8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135.069,09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D9A5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</w:tbl>
    <w:p w14:paraId="6D597C44" w14:textId="77777777" w:rsidR="009B5778" w:rsidRDefault="009B5778">
      <w:pPr>
        <w:spacing w:after="0"/>
      </w:pPr>
    </w:p>
    <w:p w14:paraId="1D013112" w14:textId="77777777" w:rsidR="009B5778" w:rsidRDefault="001E096E">
      <w:pPr>
        <w:spacing w:line="240" w:lineRule="auto"/>
        <w:jc w:val="both"/>
      </w:pPr>
      <w:r>
        <w:t>Prihodi su smanjeni 64,82 %, a odnose se na prihode od DEC-a prema zahtjevima za građevinske radove i nabavu opreme. Razlog smanjenja prihoda je manji opseg radova i nabave opreme u tekućem razdoblju, dok su značajnije nabave za radove i opremu planirane za sljedeće obračunsko razdoblje.</w:t>
      </w:r>
    </w:p>
    <w:p w14:paraId="51C43676" w14:textId="77777777" w:rsidR="009B5778" w:rsidRDefault="009B5778"/>
    <w:p w14:paraId="6F6A2C2C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6F5C7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D95F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FC41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223C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48F4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A1AF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8829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04B2BC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51BA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32AEA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4415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AC72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6.222.198,21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6C70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8.081.782,97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F649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14:paraId="57E49489" w14:textId="77777777" w:rsidR="009B5778" w:rsidRDefault="009B5778">
      <w:pPr>
        <w:spacing w:after="0"/>
      </w:pPr>
    </w:p>
    <w:p w14:paraId="772341DA" w14:textId="77777777" w:rsidR="009B5778" w:rsidRDefault="001E096E">
      <w:pPr>
        <w:spacing w:line="240" w:lineRule="auto"/>
        <w:jc w:val="both"/>
      </w:pPr>
      <w:r>
        <w:t>Povećanje ovog prihoda iznosi 29,87 %, a odnosi se na povećanje glavarine i hladnog pogona uslijed dolaska novih timova opće i dentalne medicine u sustav Doma zdravlja. Navedeno je utjecalo i na povećanje ostvarenih DTP usluga te ostalih zdravstvenih usluga.</w:t>
      </w:r>
    </w:p>
    <w:p w14:paraId="1EA25297" w14:textId="77777777" w:rsidR="009B5778" w:rsidRDefault="009B5778"/>
    <w:p w14:paraId="54473136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6115DD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7D3F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B5B0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12E5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C461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9521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0359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139A2A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898B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37846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EB6FC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EC666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80.718,12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E239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136.327,20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9929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168,9</w:t>
            </w:r>
          </w:p>
        </w:tc>
      </w:tr>
    </w:tbl>
    <w:p w14:paraId="1C55149A" w14:textId="77777777" w:rsidR="009B5778" w:rsidRDefault="009B5778">
      <w:pPr>
        <w:spacing w:after="0"/>
      </w:pPr>
    </w:p>
    <w:p w14:paraId="070428DF" w14:textId="77777777" w:rsidR="009B5778" w:rsidRDefault="001E096E">
      <w:pPr>
        <w:spacing w:line="240" w:lineRule="auto"/>
        <w:jc w:val="both"/>
      </w:pPr>
      <w:r>
        <w:lastRenderedPageBreak/>
        <w:t>Povećanje ovog prihoda iznosi 68,86 % i odnosi se na prihode od ostvarenih rabata u ljekarnama temeljem količine nabavljene robe za prodaju. Do povećanja je došlo zbog porasta ukupne nabave robe, što je rezultat veće prodaje.</w:t>
      </w:r>
    </w:p>
    <w:p w14:paraId="45A0AD15" w14:textId="77777777" w:rsidR="009B5778" w:rsidRDefault="009B5778"/>
    <w:p w14:paraId="401CCFB4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2C3D3F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8F46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4B5E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28E3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6E29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EC7E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843C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5A33B0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7F8E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D5168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F0E7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6BC77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4.491.052,05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1372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5.112.677,59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E32E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14:paraId="0BFF0810" w14:textId="77777777" w:rsidR="009B5778" w:rsidRDefault="009B5778">
      <w:pPr>
        <w:spacing w:after="0"/>
      </w:pPr>
    </w:p>
    <w:p w14:paraId="51E506FB" w14:textId="77777777" w:rsidR="009B5778" w:rsidRDefault="001E096E">
      <w:pPr>
        <w:spacing w:line="240" w:lineRule="auto"/>
        <w:jc w:val="both"/>
      </w:pPr>
      <w:r>
        <w:t>Ovi rashodi povećani su za 13,8 %. Razlog rasta troškova plaća je povećanje osnovice te veći broj zaposlenih uslijed dolaska novih medicinskih timova opće i dentalne medicine, kao i uključivanja ljekarne Čazma.</w:t>
      </w:r>
    </w:p>
    <w:p w14:paraId="5A49BBB9" w14:textId="77777777" w:rsidR="009B5778" w:rsidRDefault="009B5778"/>
    <w:p w14:paraId="59B3A1AA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8A299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DE17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F122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85B6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543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674A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53C9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70AB17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87CA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D3052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9BE5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84F0C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249.992,40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D5CCC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394.247,02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DC4F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157,7</w:t>
            </w:r>
          </w:p>
        </w:tc>
      </w:tr>
    </w:tbl>
    <w:p w14:paraId="6EB7DB54" w14:textId="77777777" w:rsidR="009B5778" w:rsidRDefault="009B5778">
      <w:pPr>
        <w:spacing w:after="0"/>
      </w:pPr>
    </w:p>
    <w:p w14:paraId="1E66080C" w14:textId="77777777" w:rsidR="009B5778" w:rsidRDefault="001E096E">
      <w:pPr>
        <w:spacing w:line="240" w:lineRule="auto"/>
        <w:jc w:val="both"/>
      </w:pPr>
      <w:r>
        <w:t>Ovi rashodi povećani su za 57,7 % zbog nedostatka liječnika i povećanog broja bolovanja, što je uzrokovalo veću potrebu za prekovremenim radom, kao i  povećanje osnovice za izračun plaće.</w:t>
      </w:r>
    </w:p>
    <w:p w14:paraId="4B4F88CE" w14:textId="77777777" w:rsidR="009B5778" w:rsidRDefault="009B5778"/>
    <w:p w14:paraId="45401583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2DA899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611C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54C0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158C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73CF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A501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FF22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6F6021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4895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15FE5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A1AE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5FF1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123.834,33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79E3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150.472,55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CCEA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55EB4C63" w14:textId="77777777" w:rsidR="009B5778" w:rsidRDefault="009B5778">
      <w:pPr>
        <w:spacing w:after="0"/>
      </w:pPr>
    </w:p>
    <w:p w14:paraId="3EDE46B6" w14:textId="77777777" w:rsidR="009B5778" w:rsidRDefault="001E096E">
      <w:pPr>
        <w:spacing w:line="240" w:lineRule="auto"/>
        <w:jc w:val="both"/>
      </w:pPr>
      <w:r>
        <w:t xml:space="preserve">Ovi rashodi su porasli za 21,5%  zbog isplata različitih naknada i dodataka, poput </w:t>
      </w:r>
      <w:proofErr w:type="spellStart"/>
      <w:r>
        <w:t>uskrsnica</w:t>
      </w:r>
      <w:proofErr w:type="spellEnd"/>
      <w:r>
        <w:t>, regresa, naknada za odvojeni život, jubilarnim nagrada i drugih prava koja proizlaze iz važećeg kolektivnog ugovora.</w:t>
      </w:r>
    </w:p>
    <w:p w14:paraId="704B784D" w14:textId="77777777" w:rsidR="009B5778" w:rsidRDefault="009B5778"/>
    <w:p w14:paraId="1A53070E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CB818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258E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9BEA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40EF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F151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7DFE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579A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073131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0F4D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3D7E5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4F68C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3270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729.242,57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C62E0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835.214,43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9FB7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05437A46" w14:textId="77777777" w:rsidR="009B5778" w:rsidRDefault="009B5778">
      <w:pPr>
        <w:spacing w:after="0"/>
      </w:pPr>
    </w:p>
    <w:p w14:paraId="08B69352" w14:textId="77777777" w:rsidR="009B5778" w:rsidRDefault="001E096E">
      <w:pPr>
        <w:spacing w:line="240" w:lineRule="auto"/>
        <w:jc w:val="both"/>
      </w:pPr>
      <w:r>
        <w:t>Ovi rashodi su povećani 14,5 % sukladno povećanju bruto I plaće zaposlenih.</w:t>
      </w:r>
    </w:p>
    <w:p w14:paraId="5F3E53A1" w14:textId="77777777" w:rsidR="009B5778" w:rsidRDefault="009B5778"/>
    <w:p w14:paraId="751B3315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385C2E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3A68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8C3F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3A22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11C9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3C0C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8456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482283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3187E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F744A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CFE8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DF528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8.521,39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2F77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11.265,92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D6F4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132,2</w:t>
            </w:r>
          </w:p>
        </w:tc>
      </w:tr>
    </w:tbl>
    <w:p w14:paraId="6F170DDB" w14:textId="77777777" w:rsidR="009B5778" w:rsidRDefault="009B5778">
      <w:pPr>
        <w:spacing w:after="0"/>
      </w:pPr>
    </w:p>
    <w:p w14:paraId="627B80CB" w14:textId="77777777" w:rsidR="009B5778" w:rsidRDefault="001E096E">
      <w:pPr>
        <w:spacing w:line="240" w:lineRule="auto"/>
        <w:jc w:val="both"/>
      </w:pPr>
      <w:r>
        <w:t>Ovi rashodi su povećani 32,2 % zbog povećane potrebe odlaska na stručno usavršavanje za medicinske radnike (doktori i med. sestre).</w:t>
      </w:r>
    </w:p>
    <w:p w14:paraId="3708DDDD" w14:textId="77777777" w:rsidR="009B5778" w:rsidRDefault="009B5778"/>
    <w:p w14:paraId="6A343343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21FE6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F723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DC93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D8BB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5B68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965F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887C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0BEA91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8A8F4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D65D5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80ED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D994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181.448,33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E36D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195.198,53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A040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14:paraId="40D65A92" w14:textId="77777777" w:rsidR="009B5778" w:rsidRDefault="009B5778">
      <w:pPr>
        <w:spacing w:after="0"/>
      </w:pPr>
    </w:p>
    <w:p w14:paraId="7A5D7411" w14:textId="77777777" w:rsidR="009B5778" w:rsidRDefault="001E096E">
      <w:pPr>
        <w:spacing w:line="240" w:lineRule="auto"/>
        <w:jc w:val="both"/>
      </w:pPr>
      <w:r>
        <w:t>Ovi rashodi su povećani 7,6 % što je rezultat porasta broja zaposlenika s pravom na naknadu za prijevoz.</w:t>
      </w:r>
    </w:p>
    <w:p w14:paraId="6E3AB8FE" w14:textId="77777777" w:rsidR="009B5778" w:rsidRDefault="009B5778"/>
    <w:p w14:paraId="5DD7DC30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596DDE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6F74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9307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51E9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487F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1C0A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905B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67B778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71EF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6C03DC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CDAC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0CAB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CEB6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12.811,16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0897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174,4</w:t>
            </w:r>
          </w:p>
        </w:tc>
      </w:tr>
    </w:tbl>
    <w:p w14:paraId="04A5C608" w14:textId="77777777" w:rsidR="009B5778" w:rsidRDefault="009B5778">
      <w:pPr>
        <w:spacing w:after="0"/>
      </w:pPr>
    </w:p>
    <w:p w14:paraId="66AAD667" w14:textId="77777777" w:rsidR="009B5778" w:rsidRDefault="001E096E">
      <w:pPr>
        <w:spacing w:line="240" w:lineRule="auto"/>
        <w:jc w:val="both"/>
      </w:pPr>
      <w:r>
        <w:t>Ovi rashodi su povećani 74,37 %. Do povećanja troškova stručnog usavršavanja došlo je zbog većeg broja edukacija i rasta cijena programa.</w:t>
      </w:r>
    </w:p>
    <w:p w14:paraId="42F021C8" w14:textId="77777777" w:rsidR="009B5778" w:rsidRDefault="009B5778"/>
    <w:p w14:paraId="114CD2DF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186C9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266F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5D7A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F9A3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BA9F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5145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B429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6CCCD0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7D03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2AFF14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8984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6B8D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36.155,22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E73F6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29.001,47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38C5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80,2</w:t>
            </w:r>
          </w:p>
        </w:tc>
      </w:tr>
    </w:tbl>
    <w:p w14:paraId="0866F2D4" w14:textId="77777777" w:rsidR="009B5778" w:rsidRDefault="009B5778">
      <w:pPr>
        <w:spacing w:after="0"/>
      </w:pPr>
    </w:p>
    <w:p w14:paraId="707E511B" w14:textId="77777777" w:rsidR="009B5778" w:rsidRDefault="001E096E">
      <w:pPr>
        <w:spacing w:line="240" w:lineRule="auto"/>
        <w:jc w:val="both"/>
      </w:pPr>
      <w:r>
        <w:t>Ovi rashodi su smanjeni za 19,8 % zbog racionalnijeg korištenja materijala i optimizacije nabave.</w:t>
      </w:r>
    </w:p>
    <w:p w14:paraId="38FA6B73" w14:textId="77777777" w:rsidR="009B5778" w:rsidRDefault="009B5778"/>
    <w:p w14:paraId="79F8F151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75F3CD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EA8C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D0FE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7698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7653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393C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9F39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4BEE1A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1ECF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DCAD4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AF8D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91111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1.707.801,28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0A586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2.555.733,99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AD22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149,7</w:t>
            </w:r>
          </w:p>
        </w:tc>
      </w:tr>
    </w:tbl>
    <w:p w14:paraId="08689CC4" w14:textId="77777777" w:rsidR="009B5778" w:rsidRDefault="009B5778">
      <w:pPr>
        <w:spacing w:after="0"/>
      </w:pPr>
    </w:p>
    <w:p w14:paraId="3052BD1B" w14:textId="77777777" w:rsidR="009B5778" w:rsidRDefault="001E096E">
      <w:pPr>
        <w:spacing w:line="240" w:lineRule="auto"/>
        <w:jc w:val="both"/>
      </w:pPr>
      <w:r>
        <w:t>Ovi rashodi su povećani za 49,7 % . Povećanje rashoda rezultat je dolaska nove ljekarne u Čazmi, što je dovelo do većeg obujma prodaje i, posljedično, povećanja nabavnih troškova robe.</w:t>
      </w:r>
    </w:p>
    <w:p w14:paraId="712D8D99" w14:textId="77777777" w:rsidR="009B5778" w:rsidRDefault="009B5778"/>
    <w:p w14:paraId="7B9E09C9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37B613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A50B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8521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1A70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08DC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B0E6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3CDA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75C83B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7602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9FEDE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703A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2CDE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203.477,46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1899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216.292,60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7E63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14:paraId="1DA9182F" w14:textId="77777777" w:rsidR="009B5778" w:rsidRDefault="009B5778">
      <w:pPr>
        <w:spacing w:after="0"/>
      </w:pPr>
    </w:p>
    <w:p w14:paraId="7B11780C" w14:textId="77777777" w:rsidR="009B5778" w:rsidRDefault="001E096E">
      <w:pPr>
        <w:spacing w:line="240" w:lineRule="auto"/>
        <w:jc w:val="both"/>
      </w:pPr>
      <w:r>
        <w:t>Ovi rashodi su povećani za 6,3 %.  Rast troškova energije posljedica je viših cijena energenata na tržištu, kao i povećane potrošnje uzrokovane intenzivnijim radom i proširenjem kapaciteta.</w:t>
      </w:r>
    </w:p>
    <w:p w14:paraId="68374E4E" w14:textId="77777777" w:rsidR="009B5778" w:rsidRDefault="009B5778"/>
    <w:p w14:paraId="2CC4008C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74C6FA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5B82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679F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21C2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EBDB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0DC2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A0FA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00688E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62E3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D6A07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68B1C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38C8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8.175,38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2412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7.490,19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B2F0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91,6</w:t>
            </w:r>
          </w:p>
        </w:tc>
      </w:tr>
    </w:tbl>
    <w:p w14:paraId="4637D487" w14:textId="77777777" w:rsidR="009B5778" w:rsidRDefault="009B5778">
      <w:pPr>
        <w:spacing w:after="0"/>
      </w:pPr>
    </w:p>
    <w:p w14:paraId="66E114E9" w14:textId="77777777" w:rsidR="009B5778" w:rsidRDefault="001E096E">
      <w:pPr>
        <w:spacing w:line="240" w:lineRule="auto"/>
        <w:jc w:val="both"/>
      </w:pPr>
      <w:r>
        <w:t>Ovi rashodi su smanjeni za 8,4 %, a razlog smanjenja je racionalizacija troškova i optimizacija planiranih popravaka.</w:t>
      </w:r>
    </w:p>
    <w:p w14:paraId="63EC1D03" w14:textId="77777777" w:rsidR="009B5778" w:rsidRDefault="009B5778"/>
    <w:p w14:paraId="7421EB48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3F94F1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C184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C1DA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A82E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CE60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296E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30FE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0B0BD3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1B3A4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256A4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BF00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31CA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ECE51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5.394,64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DDFB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162,7</w:t>
            </w:r>
          </w:p>
        </w:tc>
      </w:tr>
    </w:tbl>
    <w:p w14:paraId="5FD02AFC" w14:textId="77777777" w:rsidR="009B5778" w:rsidRDefault="009B5778">
      <w:pPr>
        <w:spacing w:after="0"/>
      </w:pPr>
    </w:p>
    <w:p w14:paraId="500DE77A" w14:textId="77777777" w:rsidR="009B5778" w:rsidRDefault="001E096E">
      <w:pPr>
        <w:spacing w:line="240" w:lineRule="auto"/>
        <w:jc w:val="both"/>
      </w:pPr>
      <w:r>
        <w:t>Ovi rashodi su povećani 62,7 %. Povećanje rashoda sitnog inventara posljedica je povećane nabave sitnog inventara potrebnog za rad novootvorenih prostora te zamjene dotrajalog inventara.</w:t>
      </w:r>
    </w:p>
    <w:p w14:paraId="40761CAB" w14:textId="77777777" w:rsidR="009B5778" w:rsidRDefault="009B5778"/>
    <w:p w14:paraId="0E36B4CD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50C273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2C66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35F6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EB18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E599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0013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BBBD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4DA844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0701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993E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CB5F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D16B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DA32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9EBD0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63,8</w:t>
            </w:r>
          </w:p>
        </w:tc>
      </w:tr>
    </w:tbl>
    <w:p w14:paraId="4B60ABCB" w14:textId="77777777" w:rsidR="009B5778" w:rsidRDefault="009B5778">
      <w:pPr>
        <w:spacing w:after="0"/>
      </w:pPr>
    </w:p>
    <w:p w14:paraId="56AB74FE" w14:textId="77777777" w:rsidR="009B5778" w:rsidRDefault="001E096E">
      <w:pPr>
        <w:spacing w:line="240" w:lineRule="auto"/>
        <w:jc w:val="both"/>
      </w:pPr>
      <w:r>
        <w:t>Ovi rashodi su povećani 63,8 %. Povećanje troškova radne odjeće rezultat je nabave nove radne odjeće radi zamjene istrošene odjeće i prilagodbe standardima zaštite i higijene.</w:t>
      </w:r>
    </w:p>
    <w:p w14:paraId="0AB423D8" w14:textId="77777777" w:rsidR="009B5778" w:rsidRDefault="009B5778"/>
    <w:p w14:paraId="3BCFDAB4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1CCDBE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5FEF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204F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5786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81CC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585B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8965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1F459E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7EA3A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1722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5667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989E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47.216,37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D0BA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42B16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14:paraId="4CD77386" w14:textId="77777777" w:rsidR="009B5778" w:rsidRDefault="009B5778">
      <w:pPr>
        <w:spacing w:after="0"/>
      </w:pPr>
    </w:p>
    <w:p w14:paraId="0077BD51" w14:textId="77777777" w:rsidR="009B5778" w:rsidRDefault="001E096E">
      <w:pPr>
        <w:spacing w:line="240" w:lineRule="auto"/>
        <w:jc w:val="both"/>
      </w:pPr>
      <w:r>
        <w:t>Ovi rashodi su povećani 7,3 %. Povećanje troška posljedica je uvođenja novih brojeva i mobitela, veće potrošnje te rasta cijena usluga.</w:t>
      </w:r>
    </w:p>
    <w:p w14:paraId="0CA6738B" w14:textId="77777777" w:rsidR="009B5778" w:rsidRDefault="009B5778"/>
    <w:p w14:paraId="68AB47ED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3D916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34FC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8BDC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4E9A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5C47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F575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7327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69845D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9F5A4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919B14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7038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FA49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136.214,04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A1E6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122.715,47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E392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</w:tbl>
    <w:p w14:paraId="160A5FBC" w14:textId="77777777" w:rsidR="009B5778" w:rsidRDefault="009B5778">
      <w:pPr>
        <w:spacing w:after="0"/>
      </w:pPr>
    </w:p>
    <w:p w14:paraId="27077761" w14:textId="77777777" w:rsidR="009B5778" w:rsidRDefault="001E096E">
      <w:pPr>
        <w:spacing w:line="240" w:lineRule="auto"/>
        <w:jc w:val="both"/>
      </w:pPr>
      <w:r>
        <w:t>Ovi rashodi su smanjeni za 9,9 % zbog racionalizacije radova i zamjene dotrajale opreme novom.</w:t>
      </w:r>
    </w:p>
    <w:p w14:paraId="647B9409" w14:textId="77777777" w:rsidR="009B5778" w:rsidRDefault="009B5778"/>
    <w:p w14:paraId="73EB0844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55E409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9013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0F6E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C8D7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B61F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973B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8A4B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2C2637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A1CE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3332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DBD8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CA88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A1DA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F9A7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31,2</w:t>
            </w:r>
          </w:p>
        </w:tc>
      </w:tr>
    </w:tbl>
    <w:p w14:paraId="51217E1E" w14:textId="77777777" w:rsidR="009B5778" w:rsidRDefault="009B5778">
      <w:pPr>
        <w:spacing w:after="0"/>
      </w:pPr>
    </w:p>
    <w:p w14:paraId="0CF01AC5" w14:textId="77777777" w:rsidR="009B5778" w:rsidRDefault="001E096E">
      <w:pPr>
        <w:spacing w:line="240" w:lineRule="auto"/>
        <w:jc w:val="both"/>
      </w:pPr>
      <w:r>
        <w:t>Ovi rashodi su smanjeni za 68,8 % jer je u prošlom razdoblju uključivao izradu i postavljanje web stranice.</w:t>
      </w:r>
    </w:p>
    <w:p w14:paraId="723FB12F" w14:textId="77777777" w:rsidR="009B5778" w:rsidRDefault="009B5778"/>
    <w:p w14:paraId="107D4C11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19FB39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BE28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EDB7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55BF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4D08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038F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6FE0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480CDA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3E00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1665D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E38F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BE3E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56.552,86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2C0AC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64.024,53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689A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14:paraId="3027A8A2" w14:textId="77777777" w:rsidR="009B5778" w:rsidRDefault="009B5778">
      <w:pPr>
        <w:spacing w:after="0"/>
      </w:pPr>
    </w:p>
    <w:p w14:paraId="7C7D2EE8" w14:textId="77777777" w:rsidR="009B5778" w:rsidRDefault="001E096E">
      <w:pPr>
        <w:spacing w:line="240" w:lineRule="auto"/>
        <w:jc w:val="both"/>
      </w:pPr>
      <w:r>
        <w:t>Ovi rashodi su smanjeni za 13,2 %  što je posljedica rasta cijena te veće potrošnje vode i odvoza smeća zbog provedbe radova energetske obnove.</w:t>
      </w:r>
    </w:p>
    <w:p w14:paraId="697D753D" w14:textId="77777777" w:rsidR="009B5778" w:rsidRDefault="009B5778"/>
    <w:p w14:paraId="0D0781DA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66B31A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D2FC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DFBB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E9E6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ED59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4E05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F455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2942BF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A02A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471E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244FE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DB494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56AE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12.973,16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40C2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184,2</w:t>
            </w:r>
          </w:p>
        </w:tc>
      </w:tr>
    </w:tbl>
    <w:p w14:paraId="00BE7BAD" w14:textId="77777777" w:rsidR="009B5778" w:rsidRDefault="009B5778">
      <w:pPr>
        <w:spacing w:after="0"/>
      </w:pPr>
    </w:p>
    <w:p w14:paraId="269B5CD0" w14:textId="77777777" w:rsidR="009B5778" w:rsidRDefault="001E096E">
      <w:pPr>
        <w:spacing w:line="240" w:lineRule="auto"/>
        <w:jc w:val="both"/>
      </w:pPr>
      <w:r>
        <w:t>Ovi rashodi su povećani 84,20 %. Što je posljedica uvođenja novih softverskih rješenja, uključujući najam Microsoft licenci i antivirusnog programa, kako bi se osigurala sigurnost i funkcionalnost IT sustava.</w:t>
      </w:r>
    </w:p>
    <w:p w14:paraId="31445D8C" w14:textId="77777777" w:rsidR="009B5778" w:rsidRDefault="009B5778"/>
    <w:p w14:paraId="26C59BDD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57AD05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940D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A631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87B2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8764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D909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0461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29C598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EFA2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FBA2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654E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3BB6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149.836,56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8E23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174.549,52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C221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1C6D3C1E" w14:textId="77777777" w:rsidR="009B5778" w:rsidRDefault="009B5778">
      <w:pPr>
        <w:spacing w:after="0"/>
      </w:pPr>
    </w:p>
    <w:p w14:paraId="25A7FEFA" w14:textId="77777777" w:rsidR="009B5778" w:rsidRDefault="001E096E">
      <w:pPr>
        <w:spacing w:line="240" w:lineRule="auto"/>
        <w:jc w:val="both"/>
      </w:pPr>
      <w:r>
        <w:t>Ovi rashodi su povećani za 16,5 % zbog povećanog opsega rada zubotehničkih laboratorija za protetiku zbog dolaska novih stomatoloških timova u Dom zdravlja.</w:t>
      </w:r>
    </w:p>
    <w:p w14:paraId="38ED7983" w14:textId="77777777" w:rsidR="009B5778" w:rsidRDefault="009B5778"/>
    <w:p w14:paraId="095B7561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052CED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2B51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A560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30B2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EE0D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512A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9ED2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3D06A9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A884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A41C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9C45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ED44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175.573,85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1FC4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136.007,24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75BB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14:paraId="43A8AAD7" w14:textId="77777777" w:rsidR="009B5778" w:rsidRDefault="009B5778">
      <w:pPr>
        <w:spacing w:after="0"/>
      </w:pPr>
    </w:p>
    <w:p w14:paraId="38AED525" w14:textId="77777777" w:rsidR="009B5778" w:rsidRDefault="001E096E">
      <w:pPr>
        <w:spacing w:line="240" w:lineRule="auto"/>
        <w:jc w:val="both"/>
      </w:pPr>
      <w:r>
        <w:t>Ovi rashodi su smanjeni 22,5 % . Smanjenje ovih rashoda rezultat je zapošljavanja stalnih zaposlenika koji su zamijenili potrebe za angažmanom vanjskih suradnika na temelju ugovora o djelu.</w:t>
      </w:r>
    </w:p>
    <w:p w14:paraId="2633BA85" w14:textId="77777777" w:rsidR="009B5778" w:rsidRDefault="009B5778"/>
    <w:p w14:paraId="29873E22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59F649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7729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32B2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C128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05D5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A0D0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29C6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5079C9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C7F3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58606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734F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7067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50.131,37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032A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63.524,56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37986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6B266482" w14:textId="77777777" w:rsidR="009B5778" w:rsidRDefault="009B5778">
      <w:pPr>
        <w:spacing w:after="0"/>
      </w:pPr>
    </w:p>
    <w:p w14:paraId="3AEAC7C9" w14:textId="77777777" w:rsidR="009B5778" w:rsidRDefault="001E096E">
      <w:pPr>
        <w:spacing w:line="240" w:lineRule="auto"/>
        <w:jc w:val="both"/>
      </w:pPr>
      <w:r>
        <w:t>Ovi rashodi su povećani 26,7 %. Povećanje troškova računalnih usluga rezultat je dolaska novih timova, zbog čega su troškovi za informatički sustav prošireni i na njihove ordinacije, kao i zbog rasta cijena te povećanih potreba za održavanjem i uvođenjem novih softverskih rješenja.</w:t>
      </w:r>
    </w:p>
    <w:p w14:paraId="5BFF4DE6" w14:textId="77777777" w:rsidR="009B5778" w:rsidRDefault="009B5778"/>
    <w:p w14:paraId="6C5C4F43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5D9F0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9ADF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36A2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BD49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8C70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84DB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9DD6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73C28D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F2F2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10F3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06F5E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D353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ECD61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23.188,30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9D2A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09B0FE5B" w14:textId="77777777" w:rsidR="009B5778" w:rsidRDefault="009B5778">
      <w:pPr>
        <w:spacing w:after="0"/>
      </w:pPr>
    </w:p>
    <w:p w14:paraId="661AAE84" w14:textId="77777777" w:rsidR="009B5778" w:rsidRDefault="001E096E">
      <w:pPr>
        <w:spacing w:line="240" w:lineRule="auto"/>
        <w:jc w:val="both"/>
      </w:pPr>
      <w:r>
        <w:t>Ovi rashodi su povećani za 15,9  % zbog povećanja cijene usluge pranje rublja i tehničkih pregleda vozila.</w:t>
      </w:r>
    </w:p>
    <w:p w14:paraId="28A5E668" w14:textId="77777777" w:rsidR="009B5778" w:rsidRDefault="009B5778"/>
    <w:p w14:paraId="7F84DF32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040737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382F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3221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0356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CC6B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F694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61DE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30BCC0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B4BC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C7018A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 osnovi utroška lijekova i potrošnog medicinskog materijala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2C25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6F1E0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A0FE4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136.507,53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07EC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4320CC0" w14:textId="77777777" w:rsidR="009B5778" w:rsidRDefault="009B5778">
      <w:pPr>
        <w:spacing w:after="0"/>
      </w:pPr>
    </w:p>
    <w:p w14:paraId="1F200435" w14:textId="77777777" w:rsidR="009B5778" w:rsidRDefault="001E096E">
      <w:pPr>
        <w:spacing w:line="240" w:lineRule="auto"/>
        <w:jc w:val="both"/>
      </w:pPr>
      <w:r>
        <w:t>Ovi rashodi su povećani 100%. Rashodi su porasli zbog primjene novih konta za lijekove i potrošni medicinski materijal, uslijed uvođenja obveznog vođenja zaliha koje u prethodnom razdoblju nije bilo evidentirano, sukladno uputama Ministarstva financija.</w:t>
      </w:r>
    </w:p>
    <w:p w14:paraId="2A4E32A8" w14:textId="77777777" w:rsidR="009B5778" w:rsidRDefault="009B5778"/>
    <w:p w14:paraId="14FA22DD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1997B0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824D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B356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CD20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29BC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E17F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9A12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27F3AB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08C3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20107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39FA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FE8D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5260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18A4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143,2</w:t>
            </w:r>
          </w:p>
        </w:tc>
      </w:tr>
    </w:tbl>
    <w:p w14:paraId="49F5EDF6" w14:textId="77777777" w:rsidR="009B5778" w:rsidRDefault="009B5778">
      <w:pPr>
        <w:spacing w:after="0"/>
      </w:pPr>
    </w:p>
    <w:p w14:paraId="7AB6C0D8" w14:textId="77777777" w:rsidR="009B5778" w:rsidRDefault="001E096E">
      <w:pPr>
        <w:spacing w:line="240" w:lineRule="auto"/>
        <w:jc w:val="both"/>
      </w:pPr>
      <w:r>
        <w:t>Ovi rashodi povećani su za 43,20 %. Povećanje rashoda za članarine posljedica je plaćanja članarine za Udrugu poslodavaca u zdravstvu od početka izvještajnog razdoblja, dok je u prethodnom razdoblju to plaćanje započelo tek u svibnju.</w:t>
      </w:r>
    </w:p>
    <w:p w14:paraId="50110D70" w14:textId="77777777" w:rsidR="009B5778" w:rsidRDefault="009B5778"/>
    <w:p w14:paraId="393D5BFA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149994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E5AF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3903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05E7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47C2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ADEB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F25C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6F1F7C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9E56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234B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D7FA9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76A2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14.113,16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072C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0D606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69,5</w:t>
            </w:r>
          </w:p>
        </w:tc>
      </w:tr>
    </w:tbl>
    <w:p w14:paraId="2604598F" w14:textId="77777777" w:rsidR="009B5778" w:rsidRDefault="009B5778">
      <w:pPr>
        <w:spacing w:after="0"/>
      </w:pPr>
    </w:p>
    <w:p w14:paraId="0FEC91B4" w14:textId="77777777" w:rsidR="009B5778" w:rsidRDefault="001E096E">
      <w:pPr>
        <w:spacing w:line="240" w:lineRule="auto"/>
        <w:jc w:val="both"/>
      </w:pPr>
      <w:r>
        <w:t>Ovi rashodi smanjeni su za 30,5 %. Razlog smanjenja je oslobađanje od plaćanja kvote za nezapošljavanje osoba s invaliditetom zbog ostvarenog prava na zamjensku kvotu.</w:t>
      </w:r>
    </w:p>
    <w:p w14:paraId="019E5633" w14:textId="77777777" w:rsidR="009B5778" w:rsidRDefault="009B5778"/>
    <w:p w14:paraId="325D91A9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7814C7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9BD8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91E8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4020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F4F6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6732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D146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2F9BF4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CCA8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3571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00AD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C572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12.808,15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97CB1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16B3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CF81274" w14:textId="77777777" w:rsidR="009B5778" w:rsidRDefault="009B5778">
      <w:pPr>
        <w:spacing w:after="0"/>
      </w:pPr>
    </w:p>
    <w:p w14:paraId="23E8B5DF" w14:textId="77777777" w:rsidR="009B5778" w:rsidRDefault="001E096E">
      <w:pPr>
        <w:spacing w:line="240" w:lineRule="auto"/>
        <w:jc w:val="both"/>
      </w:pPr>
      <w:r>
        <w:t>Ovi rashodi su smanjeni 100%  jer tijekom obračunskog razdoblja nije bilo sudskih postupaka.</w:t>
      </w:r>
    </w:p>
    <w:p w14:paraId="3195FBA9" w14:textId="77777777" w:rsidR="009B5778" w:rsidRDefault="009B5778"/>
    <w:p w14:paraId="61E45F74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2FC44E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ED5E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10D4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7617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3EC8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6A58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910B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02940F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1FF7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E2566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A06B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044A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13.275,64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711B6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21.107,03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F58F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159,0</w:t>
            </w:r>
          </w:p>
        </w:tc>
      </w:tr>
    </w:tbl>
    <w:p w14:paraId="053608BF" w14:textId="77777777" w:rsidR="009B5778" w:rsidRDefault="009B5778">
      <w:pPr>
        <w:spacing w:after="0"/>
      </w:pPr>
    </w:p>
    <w:p w14:paraId="04FA44D6" w14:textId="77777777" w:rsidR="009B5778" w:rsidRDefault="001E096E">
      <w:pPr>
        <w:spacing w:line="240" w:lineRule="auto"/>
        <w:jc w:val="both"/>
      </w:pPr>
      <w:r>
        <w:t>Rashodi su povećani za 59 % kao rezultat većeg prometa u postojećim ljekarnama te otvaranja nove ljekarne u Čazmi, što se odrazilo na rast provizija na POS uređajima.</w:t>
      </w:r>
    </w:p>
    <w:p w14:paraId="102F67C1" w14:textId="77777777" w:rsidR="009B5778" w:rsidRDefault="009B5778"/>
    <w:p w14:paraId="05AC0D2B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19BB65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1E41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82C6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C7AC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E2A6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CDD7F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A408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3414AE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ADD8B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8206C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A954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D72D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41.285,56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CCA0C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20.228,82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0241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</w:t>
            </w:r>
          </w:p>
        </w:tc>
      </w:tr>
    </w:tbl>
    <w:p w14:paraId="1867833F" w14:textId="77777777" w:rsidR="009B5778" w:rsidRDefault="009B5778">
      <w:pPr>
        <w:spacing w:after="0"/>
      </w:pPr>
    </w:p>
    <w:p w14:paraId="5622C806" w14:textId="77777777" w:rsidR="009B5778" w:rsidRDefault="001E096E">
      <w:pPr>
        <w:spacing w:line="240" w:lineRule="auto"/>
        <w:jc w:val="both"/>
      </w:pPr>
      <w:r>
        <w:t xml:space="preserve">Ovi rashodi su smanjeni za 51 %. Smanjenjem glavnice prema sporazumu s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Intertradom</w:t>
      </w:r>
      <w:proofErr w:type="spellEnd"/>
      <w:r>
        <w:t xml:space="preserve"> smanjio se i iznos obračunatih zateznih kamata, što je rezultiralo smanjenjem rashoda kamata.</w:t>
      </w:r>
    </w:p>
    <w:p w14:paraId="0F607A9B" w14:textId="77777777" w:rsidR="009B5778" w:rsidRDefault="009B5778"/>
    <w:p w14:paraId="034C396B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30E4B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37EB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FDDF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3F84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936B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5637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5F3F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1F6162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B804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F5D52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Ugovorene kazne i ostale naknade šteta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E0D9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BE89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7C6E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7172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8,1</w:t>
            </w:r>
          </w:p>
        </w:tc>
      </w:tr>
    </w:tbl>
    <w:p w14:paraId="761F0927" w14:textId="77777777" w:rsidR="009B5778" w:rsidRDefault="009B5778">
      <w:pPr>
        <w:spacing w:after="0"/>
      </w:pPr>
    </w:p>
    <w:p w14:paraId="1FAF126F" w14:textId="77777777" w:rsidR="009B5778" w:rsidRDefault="001E096E">
      <w:pPr>
        <w:spacing w:line="240" w:lineRule="auto"/>
        <w:jc w:val="both"/>
      </w:pPr>
      <w:r>
        <w:t>Ovi rashodi su smanjeni 91,9 %. U ovom izvještajnom razdoblju ordinacije su minimizirale kazne od HZZO-a.</w:t>
      </w:r>
    </w:p>
    <w:p w14:paraId="1A62EA25" w14:textId="77777777" w:rsidR="009B5778" w:rsidRDefault="009B5778"/>
    <w:p w14:paraId="5FBD3B4C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6F55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8B2B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DFE9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C992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B82B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1BC3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F0DE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6A0011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2CA6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DCD4D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F52F7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EB36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5894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0433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FABC732" w14:textId="77777777" w:rsidR="009B5778" w:rsidRDefault="009B5778">
      <w:pPr>
        <w:spacing w:after="0"/>
      </w:pPr>
    </w:p>
    <w:p w14:paraId="1C059A64" w14:textId="77777777" w:rsidR="009B5778" w:rsidRDefault="001E096E">
      <w:pPr>
        <w:spacing w:line="240" w:lineRule="auto"/>
        <w:jc w:val="both"/>
      </w:pPr>
      <w:r>
        <w:t>Smanjenje prihoda od 100 % jer u ovom izvještajnom razdoblju nije bilo prodaje zemljišta.</w:t>
      </w:r>
    </w:p>
    <w:p w14:paraId="1E009DE9" w14:textId="77777777" w:rsidR="009B5778" w:rsidRDefault="009B5778"/>
    <w:p w14:paraId="18B6B43C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71427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D2B4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30A1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68AB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3719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92D7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2A50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025F9A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CBDF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FCCC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EA17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42EA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EF596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086C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1854,8</w:t>
            </w:r>
          </w:p>
        </w:tc>
      </w:tr>
    </w:tbl>
    <w:p w14:paraId="28AE2D52" w14:textId="77777777" w:rsidR="009B5778" w:rsidRDefault="009B5778">
      <w:pPr>
        <w:spacing w:after="0"/>
      </w:pPr>
    </w:p>
    <w:p w14:paraId="3D0D7DFB" w14:textId="77777777" w:rsidR="009B5778" w:rsidRDefault="001E096E">
      <w:pPr>
        <w:spacing w:line="240" w:lineRule="auto"/>
        <w:jc w:val="both"/>
      </w:pPr>
      <w:r>
        <w:t>Prihodi su povećani za 1755 %. Razlog povećanja prihoda od stambenih objekata je uplata od otkupa stanova općine Veliki Grđevac i grada Čazma.</w:t>
      </w:r>
    </w:p>
    <w:p w14:paraId="49A6D2D6" w14:textId="77777777" w:rsidR="009B5778" w:rsidRDefault="009B5778"/>
    <w:p w14:paraId="1FF32E9D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5C78F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012D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F280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F8CA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3C30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DADC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1452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496D00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1141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CC30B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6849A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9B56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1FA41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A64E1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4,7</w:t>
            </w:r>
          </w:p>
        </w:tc>
      </w:tr>
    </w:tbl>
    <w:p w14:paraId="75C0C19E" w14:textId="77777777" w:rsidR="009B5778" w:rsidRDefault="009B5778">
      <w:pPr>
        <w:spacing w:after="0"/>
      </w:pPr>
    </w:p>
    <w:p w14:paraId="7ED0CE7E" w14:textId="77777777" w:rsidR="009B5778" w:rsidRDefault="001E096E">
      <w:pPr>
        <w:spacing w:line="240" w:lineRule="auto"/>
        <w:jc w:val="both"/>
      </w:pPr>
      <w:r>
        <w:t>Prihodi su smanjeni za 95,3 % jer u ovom obračunskom razdoblju nije bilo  prodaje rashodovanih vozila u istom obimu.</w:t>
      </w:r>
    </w:p>
    <w:p w14:paraId="2B8EC0F8" w14:textId="77777777" w:rsidR="009B5778" w:rsidRDefault="009B5778"/>
    <w:p w14:paraId="1E8DB40D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30928D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114E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C25B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F5C4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4139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0751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939F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21EE45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A2C6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C533F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87E4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22BF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CCE82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B4B2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CECF36D" w14:textId="77777777" w:rsidR="009B5778" w:rsidRDefault="009B5778">
      <w:pPr>
        <w:spacing w:after="0"/>
      </w:pPr>
    </w:p>
    <w:p w14:paraId="394371B8" w14:textId="77777777" w:rsidR="009B5778" w:rsidRDefault="001E096E">
      <w:pPr>
        <w:spacing w:line="240" w:lineRule="auto"/>
        <w:jc w:val="both"/>
      </w:pPr>
      <w:r>
        <w:t>Ovi rashodi smanjeni su za 100 % jer u ovom obračunskom razdoblju nije bilo nabave novih licenci.</w:t>
      </w:r>
    </w:p>
    <w:p w14:paraId="6B6E6081" w14:textId="77777777" w:rsidR="009B5778" w:rsidRDefault="009B5778"/>
    <w:p w14:paraId="04792BB4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3043D7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E4F2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FCFA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D375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1EFD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B952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6B96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6D8C6D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7A13C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B14A25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654F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76F2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42.458,86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05E65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75.088,62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2351C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176,9</w:t>
            </w:r>
          </w:p>
        </w:tc>
      </w:tr>
    </w:tbl>
    <w:p w14:paraId="3F3EA6B1" w14:textId="77777777" w:rsidR="009B5778" w:rsidRDefault="009B5778">
      <w:pPr>
        <w:spacing w:after="0"/>
      </w:pPr>
    </w:p>
    <w:p w14:paraId="618D9A5B" w14:textId="77777777" w:rsidR="009B5778" w:rsidRDefault="001E096E">
      <w:pPr>
        <w:spacing w:line="240" w:lineRule="auto"/>
        <w:jc w:val="both"/>
      </w:pPr>
      <w:r>
        <w:t>Ovi rashodi povećani su za 76,9 %. Odnose se na nabavu namještaja za dječji dispanzer u Daruvaru (donacija Grada Daruvara), pedijatrijsku ordinaciju u Daruvaru (donacija Općine Sirač) te namještaj i kartotečni ormari za razne ordinacije. Također, rashodi uključuju nabavu računala i stolica za više lokacija, za što su sredstva osigurana iz DEC-a.</w:t>
      </w:r>
    </w:p>
    <w:p w14:paraId="10678EE5" w14:textId="77777777" w:rsidR="009B5778" w:rsidRDefault="009B5778"/>
    <w:p w14:paraId="6FE1A800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0F92DE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70CC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1DCA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B9D0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420FD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23EA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AAE7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3C465A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8257C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2CAF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06D4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D50C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16.058,15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B0B22C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23.071,65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FE73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14:paraId="71FBCD4B" w14:textId="77777777" w:rsidR="009B5778" w:rsidRDefault="009B5778">
      <w:pPr>
        <w:spacing w:after="0"/>
      </w:pPr>
    </w:p>
    <w:p w14:paraId="63FFB061" w14:textId="77777777" w:rsidR="009B5778" w:rsidRDefault="001E096E">
      <w:pPr>
        <w:spacing w:line="240" w:lineRule="auto"/>
        <w:jc w:val="both"/>
      </w:pPr>
      <w:r>
        <w:t>Ovi rashodi su povećani 43,7 %, a odnose se na nabavu zidnih električnih grijalica, hladnjaka te klima uređaja za potrebe ordinacija.</w:t>
      </w:r>
    </w:p>
    <w:p w14:paraId="631E5613" w14:textId="77777777" w:rsidR="009B5778" w:rsidRDefault="009B5778"/>
    <w:p w14:paraId="1DD8F2C4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76ADCB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6173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5031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4D4C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402C7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B6B6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32EF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4ED63C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4B87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D5427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285AC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F002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202.530,12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5F54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35.812,63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0144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17,7</w:t>
            </w:r>
          </w:p>
        </w:tc>
      </w:tr>
    </w:tbl>
    <w:p w14:paraId="0BD29BBA" w14:textId="77777777" w:rsidR="009B5778" w:rsidRDefault="009B5778">
      <w:pPr>
        <w:spacing w:after="0"/>
      </w:pPr>
    </w:p>
    <w:p w14:paraId="29ACE9B1" w14:textId="77777777" w:rsidR="009B5778" w:rsidRDefault="001E096E">
      <w:pPr>
        <w:spacing w:line="240" w:lineRule="auto"/>
        <w:jc w:val="both"/>
      </w:pPr>
      <w:r>
        <w:t xml:space="preserve">Ovi rashodi su smanjeni za 82,3 % ,a razlog smanjenja je što je u prethodnom razdoblju provedena jednokratna nabava potrebne specifične opreme, dok se u tekućem razdoblju nabavljaju samo redovne i </w:t>
      </w:r>
      <w:proofErr w:type="spellStart"/>
      <w:r>
        <w:t>održavajuće</w:t>
      </w:r>
      <w:proofErr w:type="spellEnd"/>
      <w:r>
        <w:t xml:space="preserve"> zalihe. Trošak se odnosi  na nabavu seta za strojnu endodonciju dr. Lovrić, </w:t>
      </w:r>
      <w:proofErr w:type="spellStart"/>
      <w:r>
        <w:t>polimerizacijske</w:t>
      </w:r>
      <w:proofErr w:type="spellEnd"/>
      <w:r>
        <w:t xml:space="preserve"> lampe za dr. </w:t>
      </w:r>
      <w:proofErr w:type="spellStart"/>
      <w:r>
        <w:t>Vacek</w:t>
      </w:r>
      <w:proofErr w:type="spellEnd"/>
      <w:r>
        <w:t xml:space="preserve">, nabavu kavo turbine za dr. Petka, otkup stomatološke opreme ordinacije </w:t>
      </w:r>
      <w:proofErr w:type="spellStart"/>
      <w:r>
        <w:t>dr.Kezele</w:t>
      </w:r>
      <w:proofErr w:type="spellEnd"/>
      <w:r>
        <w:t>, kompresora za komprimirani zrak za ispostavu Daruvar te ostale medicinske opreme za razne ordinacije (</w:t>
      </w:r>
      <w:proofErr w:type="spellStart"/>
      <w:r>
        <w:t>int.ležajevi</w:t>
      </w:r>
      <w:proofErr w:type="spellEnd"/>
      <w:r>
        <w:t xml:space="preserve">, vage, </w:t>
      </w:r>
      <w:proofErr w:type="spellStart"/>
      <w:r>
        <w:t>svijetiljke</w:t>
      </w:r>
      <w:proofErr w:type="spellEnd"/>
      <w:r>
        <w:t xml:space="preserve">, </w:t>
      </w:r>
      <w:proofErr w:type="spellStart"/>
      <w:r>
        <w:t>autoklavi</w:t>
      </w:r>
      <w:proofErr w:type="spellEnd"/>
      <w:r>
        <w:t>).</w:t>
      </w:r>
    </w:p>
    <w:p w14:paraId="698DEAD6" w14:textId="77777777" w:rsidR="009B5778" w:rsidRDefault="009B5778"/>
    <w:p w14:paraId="04771526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511DB7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2FA8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17E2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0B29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F6B2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F529E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17D3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761270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4EC53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EB3498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DA294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2EF2B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E119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4FCC8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6C211B" w14:textId="77777777" w:rsidR="009B5778" w:rsidRDefault="009B5778">
      <w:pPr>
        <w:spacing w:after="0"/>
      </w:pPr>
    </w:p>
    <w:p w14:paraId="1B3ED384" w14:textId="77777777" w:rsidR="009B5778" w:rsidRDefault="001E096E">
      <w:pPr>
        <w:spacing w:line="240" w:lineRule="auto"/>
        <w:jc w:val="both"/>
      </w:pPr>
      <w:r>
        <w:t xml:space="preserve">Ovi rashodi su povećani 100 %, a odnose se na nabavu uređaja za provjeru ispravnosti novčanica za ljekarnu u Čazmi, motornih škara za domare u Daruvaru i Garešnici, traktorske kosilice za domara u </w:t>
      </w:r>
      <w:proofErr w:type="spellStart"/>
      <w:r>
        <w:t>daruvaru</w:t>
      </w:r>
      <w:proofErr w:type="spellEnd"/>
      <w:r>
        <w:t xml:space="preserve"> te nabavu sustava nadzora temperature za hladnjake u ljekarnama.</w:t>
      </w:r>
    </w:p>
    <w:p w14:paraId="54452619" w14:textId="77777777" w:rsidR="009B5778" w:rsidRDefault="009B5778"/>
    <w:p w14:paraId="7BD3814B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E0594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40FE1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231D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EA56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C1EE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A96D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A0A9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7D6DEE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D5AE6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4F742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E605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1C5E4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173B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17.400,08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16D60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69D415" w14:textId="77777777" w:rsidR="009B5778" w:rsidRDefault="009B5778">
      <w:pPr>
        <w:spacing w:after="0"/>
      </w:pPr>
    </w:p>
    <w:p w14:paraId="5FFA3239" w14:textId="77777777" w:rsidR="009B5778" w:rsidRDefault="001E096E">
      <w:pPr>
        <w:spacing w:line="240" w:lineRule="auto"/>
        <w:jc w:val="both"/>
      </w:pPr>
      <w:r>
        <w:t>Ovi rashodi su povećani 100 %, a odnose se na nabavu osobnog vozila za palijativnu službu u ispostavi Bjelovar.</w:t>
      </w:r>
    </w:p>
    <w:p w14:paraId="1C6593A5" w14:textId="77777777" w:rsidR="009B5778" w:rsidRDefault="009B5778"/>
    <w:p w14:paraId="7FDDD9BC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448FAF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6F55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FB23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41809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ACC0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1788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9293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644C03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9626C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81B7C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33DE1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9C79D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BBAF0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F480E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83,3</w:t>
            </w:r>
          </w:p>
        </w:tc>
      </w:tr>
    </w:tbl>
    <w:p w14:paraId="53398FBB" w14:textId="77777777" w:rsidR="009B5778" w:rsidRDefault="009B5778">
      <w:pPr>
        <w:spacing w:after="0"/>
      </w:pPr>
    </w:p>
    <w:p w14:paraId="624BD9BD" w14:textId="77777777" w:rsidR="009B5778" w:rsidRDefault="001E096E">
      <w:pPr>
        <w:spacing w:line="240" w:lineRule="auto"/>
        <w:jc w:val="both"/>
      </w:pPr>
      <w:r>
        <w:lastRenderedPageBreak/>
        <w:t xml:space="preserve">Ovi rashodi su smanjeni 16,7 %, a odnose se na implementaciju sustava </w:t>
      </w:r>
      <w:proofErr w:type="spellStart"/>
      <w:r>
        <w:t>eDom</w:t>
      </w:r>
      <w:proofErr w:type="spellEnd"/>
      <w:r>
        <w:t xml:space="preserve"> zdravlja.</w:t>
      </w:r>
    </w:p>
    <w:p w14:paraId="12ED1B94" w14:textId="77777777" w:rsidR="009B5778" w:rsidRDefault="009B5778"/>
    <w:p w14:paraId="2D47B02B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722517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E2C53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749AA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1CC9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34BF2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56380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6DE2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784C9F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6059F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1266A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7D500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348C7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181.941,91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BC3B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627.752,49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06A59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345,0</w:t>
            </w:r>
          </w:p>
        </w:tc>
      </w:tr>
    </w:tbl>
    <w:p w14:paraId="2E9053DC" w14:textId="77777777" w:rsidR="009B5778" w:rsidRDefault="009B5778">
      <w:pPr>
        <w:spacing w:after="0"/>
      </w:pPr>
    </w:p>
    <w:p w14:paraId="71EDEEB8" w14:textId="77777777" w:rsidR="009B5778" w:rsidRDefault="001E096E">
      <w:pPr>
        <w:spacing w:line="240" w:lineRule="auto"/>
        <w:jc w:val="both"/>
      </w:pPr>
      <w:r>
        <w:t xml:space="preserve">Rashodi se odnose na usluge koordinatora i izrade elaborata za zgradu u Garešnici, izmjenu krovišta u Garešničkom Brestovcu, priključak </w:t>
      </w:r>
      <w:proofErr w:type="spellStart"/>
      <w:r>
        <w:t>el.energije</w:t>
      </w:r>
      <w:proofErr w:type="spellEnd"/>
      <w:r>
        <w:t xml:space="preserve"> za ispostavu u Garešnici za potrebe novog RTG-a, ugradnju stolarije u Velikim Zdencima, </w:t>
      </w:r>
      <w:proofErr w:type="spellStart"/>
      <w:r>
        <w:t>Bereku</w:t>
      </w:r>
      <w:proofErr w:type="spellEnd"/>
      <w:r>
        <w:t xml:space="preserve">, Novoj Rači i </w:t>
      </w:r>
      <w:proofErr w:type="spellStart"/>
      <w:r>
        <w:t>Ivanskoj</w:t>
      </w:r>
      <w:proofErr w:type="spellEnd"/>
      <w:r>
        <w:t>, stručni nadzor energetske obnove u Garešnici, izradu projektne dokumentacije za radove u Garešnici te radovi na energetskoj obnovi na zgradama u Garešnici, Grubišnom Polju i Daruvaru.</w:t>
      </w:r>
    </w:p>
    <w:p w14:paraId="4FEBF3D7" w14:textId="77777777" w:rsidR="009B5778" w:rsidRDefault="009B5778"/>
    <w:p w14:paraId="29F667A2" w14:textId="77777777" w:rsidR="009B5778" w:rsidRDefault="001E096E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5778" w14:paraId="0A3963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2743C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21F74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D7025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40E76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BA898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FC65B" w14:textId="77777777" w:rsidR="009B5778" w:rsidRDefault="001E096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5778" w14:paraId="75A2B9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D17E6" w14:textId="77777777" w:rsidR="009B5778" w:rsidRDefault="009B5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AC02D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B4E3A" w14:textId="77777777" w:rsidR="009B5778" w:rsidRDefault="001E096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4AC4F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996.348,65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3371A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565.600,70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5C993" w14:textId="77777777" w:rsidR="009B5778" w:rsidRDefault="001E096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56,8</w:t>
            </w:r>
          </w:p>
        </w:tc>
      </w:tr>
    </w:tbl>
    <w:p w14:paraId="7EBF16E2" w14:textId="77777777" w:rsidR="009B5778" w:rsidRDefault="009B5778">
      <w:pPr>
        <w:spacing w:after="0"/>
      </w:pPr>
    </w:p>
    <w:p w14:paraId="03DDD078" w14:textId="77777777" w:rsidR="009B5778" w:rsidRDefault="001E096E">
      <w:pPr>
        <w:spacing w:line="240" w:lineRule="auto"/>
        <w:jc w:val="both"/>
      </w:pPr>
      <w:r>
        <w:t>Manjak prihoda  je smanjen za 43,20 % u odnosu na proteklo razdoblje zahvaljujući prihodu od refundacije plaća za specijalizacije. Ovaj prihod odnosi se na povrat sredstava za plaće liječnika na specijalizaciji za 2023. i 2024. godinu, koji je evidentiran u ovom razdoblju i znatno utjecao na smanjenje manjka. Unatoč rastu troškova, posebno za plaće i materijal, manjak se nije povećao zahvaljujući navedenim prihodima i racionalnijem upravljanju rashodima.</w:t>
      </w:r>
    </w:p>
    <w:p w14:paraId="6F934283" w14:textId="77777777" w:rsidR="009B5778" w:rsidRDefault="009B5778"/>
    <w:sectPr w:rsidR="009B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78"/>
    <w:rsid w:val="001E096E"/>
    <w:rsid w:val="00612541"/>
    <w:rsid w:val="009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9D3D"/>
  <w15:docId w15:val="{107E8601-BE51-418D-8386-25122F12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3830</Words>
  <Characters>21835</Characters>
  <Application>Microsoft Office Word</Application>
  <DocSecurity>0</DocSecurity>
  <Lines>181</Lines>
  <Paragraphs>51</Paragraphs>
  <ScaleCrop>false</ScaleCrop>
  <Company/>
  <LinksUpToDate>false</LinksUpToDate>
  <CharactersWithSpaces>25614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Gregurek</dc:creator>
  <cp:lastModifiedBy>Marijana Gregurek</cp:lastModifiedBy>
  <cp:revision>2</cp:revision>
  <dcterms:created xsi:type="dcterms:W3CDTF">2025-10-09T12:18:00Z</dcterms:created>
  <dcterms:modified xsi:type="dcterms:W3CDTF">2025-10-09T12:18:00Z</dcterms:modified>
</cp:coreProperties>
</file>